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7E" w:rsidRPr="007B0D7E" w:rsidRDefault="007B0D7E" w:rsidP="007B0D7E">
      <w:pPr>
        <w:shd w:val="clear" w:color="auto" w:fill="DCE6EE" w:themeFill="accent6" w:themeFillTint="66"/>
        <w:spacing w:before="120" w:after="1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B0D7E">
        <w:rPr>
          <w:rFonts w:ascii="Arial" w:hAnsi="Arial" w:cs="Arial"/>
          <w:b/>
          <w:sz w:val="24"/>
          <w:szCs w:val="24"/>
        </w:rPr>
        <w:t>Brandt Report</w:t>
      </w:r>
    </w:p>
    <w:p w:rsidR="00CA3CA5" w:rsidRPr="007B0D7E" w:rsidRDefault="007B0D7E" w:rsidP="00CA3CA5">
      <w:pPr>
        <w:spacing w:after="0"/>
        <w:rPr>
          <w:rFonts w:ascii="Arial" w:hAnsi="Arial" w:cs="Arial"/>
          <w:shd w:val="clear" w:color="auto" w:fill="FFFFFF"/>
        </w:rPr>
      </w:pPr>
      <w:r w:rsidRPr="007B0D7E">
        <w:rPr>
          <w:rFonts w:ascii="Arial" w:hAnsi="Arial" w:cs="Arial"/>
        </w:rPr>
        <w:t xml:space="preserve">The </w:t>
      </w:r>
      <w:r w:rsidRPr="007B0D7E">
        <w:rPr>
          <w:rFonts w:ascii="Arial" w:hAnsi="Arial" w:cs="Arial"/>
          <w:b/>
        </w:rPr>
        <w:t>Brandt Report</w:t>
      </w:r>
      <w:r w:rsidRPr="007B0D7E">
        <w:rPr>
          <w:rFonts w:ascii="Arial" w:hAnsi="Arial" w:cs="Arial"/>
        </w:rPr>
        <w:t xml:space="preserve"> was </w:t>
      </w:r>
      <w:r w:rsidRPr="007B0D7E">
        <w:rPr>
          <w:rFonts w:ascii="Arial" w:hAnsi="Arial" w:cs="Arial"/>
          <w:shd w:val="clear" w:color="auto" w:fill="FFFFFF"/>
        </w:rPr>
        <w:t>written by the Independent Commission, first chaired by Willy</w:t>
      </w:r>
      <w:r w:rsidRPr="007B0D7E">
        <w:rPr>
          <w:rStyle w:val="apple-converted-space"/>
          <w:rFonts w:ascii="Arial" w:hAnsi="Arial" w:cs="Arial"/>
          <w:shd w:val="clear" w:color="auto" w:fill="FFFFFF"/>
        </w:rPr>
        <w:t> </w:t>
      </w:r>
      <w:r w:rsidRPr="007B0D7E">
        <w:rPr>
          <w:rFonts w:ascii="Arial" w:hAnsi="Arial" w:cs="Arial"/>
          <w:bCs/>
          <w:shd w:val="clear" w:color="auto" w:fill="FFFFFF"/>
        </w:rPr>
        <w:t>Brandt</w:t>
      </w:r>
      <w:r w:rsidRPr="007B0D7E">
        <w:rPr>
          <w:rStyle w:val="apple-converted-space"/>
          <w:rFonts w:ascii="Arial" w:hAnsi="Arial" w:cs="Arial"/>
          <w:shd w:val="clear" w:color="auto" w:fill="FFFFFF"/>
        </w:rPr>
        <w:t> </w:t>
      </w:r>
      <w:r w:rsidRPr="007B0D7E">
        <w:rPr>
          <w:rFonts w:ascii="Arial" w:hAnsi="Arial" w:cs="Arial"/>
          <w:shd w:val="clear" w:color="auto" w:fill="FFFFFF"/>
        </w:rPr>
        <w:t>(the former German Chancellor) in 1980, to review international development issues.</w:t>
      </w:r>
    </w:p>
    <w:p w:rsidR="007B0D7E" w:rsidRPr="007B0D7E" w:rsidRDefault="007B0D7E" w:rsidP="00CA3CA5">
      <w:pPr>
        <w:spacing w:after="0"/>
        <w:rPr>
          <w:rFonts w:ascii="Arial" w:hAnsi="Arial" w:cs="Arial"/>
          <w:shd w:val="clear" w:color="auto" w:fill="FFFFFF"/>
        </w:rPr>
      </w:pPr>
    </w:p>
    <w:p w:rsidR="007B0D7E" w:rsidRPr="007B0D7E" w:rsidRDefault="007B0D7E" w:rsidP="007B0D7E">
      <w:pPr>
        <w:pStyle w:val="NormalWeb"/>
        <w:spacing w:after="0"/>
        <w:rPr>
          <w:rFonts w:ascii="Arial" w:hAnsi="Arial" w:cs="Arial"/>
          <w:sz w:val="16"/>
          <w:szCs w:val="16"/>
        </w:rPr>
      </w:pPr>
      <w:r w:rsidRPr="007B0D7E">
        <w:rPr>
          <w:rFonts w:ascii="Arial" w:hAnsi="Arial" w:cs="Arial"/>
          <w:sz w:val="16"/>
          <w:szCs w:val="16"/>
        </w:rPr>
        <w:t xml:space="preserve">The report identified the Brandt Line, a north south divide between the extremely </w:t>
      </w:r>
      <w:r w:rsidR="008E7959">
        <w:rPr>
          <w:rFonts w:ascii="Arial" w:hAnsi="Arial" w:cs="Arial"/>
          <w:sz w:val="16"/>
          <w:szCs w:val="16"/>
        </w:rPr>
        <w:t>wealthy HICs and the poorer LI</w:t>
      </w:r>
      <w:r w:rsidRPr="007B0D7E">
        <w:rPr>
          <w:rFonts w:ascii="Arial" w:hAnsi="Arial" w:cs="Arial"/>
          <w:sz w:val="16"/>
          <w:szCs w:val="16"/>
        </w:rPr>
        <w:t>Cs.</w:t>
      </w:r>
    </w:p>
    <w:p w:rsidR="007B0D7E" w:rsidRPr="007B0D7E" w:rsidRDefault="007B0D7E" w:rsidP="007B0D7E">
      <w:pPr>
        <w:pStyle w:val="NormalWeb"/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108" w:tblpY="23"/>
        <w:tblW w:w="4874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06"/>
      </w:tblGrid>
      <w:tr w:rsidR="007B0D7E" w:rsidRPr="007B0D7E" w:rsidTr="007B0D7E">
        <w:trPr>
          <w:trHeight w:val="3679"/>
        </w:trPr>
        <w:tc>
          <w:tcPr>
            <w:tcW w:w="5000" w:type="pct"/>
            <w:vAlign w:val="center"/>
          </w:tcPr>
          <w:p w:rsidR="007B0D7E" w:rsidRPr="007B0D7E" w:rsidRDefault="007B0D7E" w:rsidP="007B0D7E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B0D7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B7DFC3E" wp14:editId="0B42CBCA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-1066165</wp:posOffset>
                  </wp:positionV>
                  <wp:extent cx="5000625" cy="2983230"/>
                  <wp:effectExtent l="0" t="0" r="9525" b="7620"/>
                  <wp:wrapSquare wrapText="bothSides"/>
                  <wp:docPr id="1" name="Picture 1" descr="https://upload.wikimedia.org/wikipedia/commons/2/2c/The_Brandt_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2/2c/The_Brandt_Lin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872"/>
                          <a:stretch/>
                        </pic:blipFill>
                        <pic:spPr bwMode="auto">
                          <a:xfrm>
                            <a:off x="0" y="0"/>
                            <a:ext cx="5000625" cy="298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D7E" w:rsidRPr="007B0D7E" w:rsidTr="007B0D7E">
        <w:trPr>
          <w:trHeight w:val="438"/>
        </w:trPr>
        <w:tc>
          <w:tcPr>
            <w:tcW w:w="5000" w:type="pct"/>
            <w:vAlign w:val="center"/>
          </w:tcPr>
          <w:p w:rsidR="007B0D7E" w:rsidRPr="007B0D7E" w:rsidRDefault="007B0D7E" w:rsidP="007B0D7E">
            <w:pPr>
              <w:pStyle w:val="NormalWeb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B0D7E">
              <w:rPr>
                <w:rFonts w:ascii="Arial" w:hAnsi="Arial" w:cs="Arial"/>
                <w:sz w:val="16"/>
                <w:szCs w:val="16"/>
              </w:rPr>
              <w:t xml:space="preserve">Map used courtesy of </w:t>
            </w:r>
            <w:proofErr w:type="spellStart"/>
            <w:r w:rsidRPr="007B0D7E">
              <w:rPr>
                <w:rFonts w:ascii="Arial" w:hAnsi="Arial" w:cs="Arial"/>
                <w:sz w:val="16"/>
                <w:szCs w:val="16"/>
              </w:rPr>
              <w:t>ovan.gec</w:t>
            </w:r>
            <w:proofErr w:type="spellEnd"/>
            <w:r w:rsidRPr="007B0D7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, 2015 </w:t>
            </w:r>
            <w:r w:rsidRPr="007B0D7E">
              <w:rPr>
                <w:rFonts w:ascii="Arial" w:hAnsi="Arial" w:cs="Arial"/>
                <w:sz w:val="16"/>
                <w:szCs w:val="16"/>
              </w:rPr>
              <w:t>under the Creative Commons Attribution-Share Alike 4.0 International license.</w:t>
            </w:r>
            <w:hyperlink r:id="rId10" w:history="1">
              <w:r w:rsidRPr="007B0D7E">
                <w:rPr>
                  <w:rStyle w:val="Hyperlink"/>
                  <w:rFonts w:ascii="Arial" w:hAnsi="Arial" w:cs="Arial"/>
                  <w:sz w:val="16"/>
                  <w:szCs w:val="16"/>
                </w:rPr>
                <w:t>commons.wikimedia.org/wiki/</w:t>
              </w:r>
              <w:proofErr w:type="spellStart"/>
              <w:r w:rsidRPr="007B0D7E">
                <w:rPr>
                  <w:rStyle w:val="Hyperlink"/>
                  <w:rFonts w:ascii="Arial" w:hAnsi="Arial" w:cs="Arial"/>
                  <w:sz w:val="16"/>
                  <w:szCs w:val="16"/>
                </w:rPr>
                <w:t>File:The_Brandt_Line.png</w:t>
              </w:r>
              <w:proofErr w:type="spellEnd"/>
            </w:hyperlink>
          </w:p>
          <w:p w:rsidR="007B0D7E" w:rsidRPr="007B0D7E" w:rsidRDefault="007B0D7E" w:rsidP="007B0D7E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0D7E" w:rsidRPr="007B0D7E" w:rsidRDefault="007B0D7E" w:rsidP="007B0D7E">
      <w:pPr>
        <w:shd w:val="clear" w:color="auto" w:fill="DCE6EE" w:themeFill="accent6" w:themeFillTint="66"/>
        <w:spacing w:before="240" w:after="240"/>
        <w:rPr>
          <w:rFonts w:ascii="Arial" w:hAnsi="Arial" w:cs="Arial"/>
          <w:b/>
          <w:sz w:val="24"/>
          <w:szCs w:val="24"/>
        </w:rPr>
      </w:pPr>
      <w:r w:rsidRPr="007B0D7E">
        <w:rPr>
          <w:rFonts w:ascii="Arial" w:hAnsi="Arial" w:cs="Arial"/>
          <w:b/>
          <w:sz w:val="24"/>
          <w:szCs w:val="24"/>
        </w:rPr>
        <w:t>Student tasks</w:t>
      </w:r>
    </w:p>
    <w:tbl>
      <w:tblPr>
        <w:tblStyle w:val="TableGrid"/>
        <w:tblpPr w:leftFromText="180" w:rightFromText="180" w:vertAnchor="text" w:horzAnchor="margin" w:tblpX="108" w:tblpY="3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F57EFE" w:rsidTr="00F57EFE">
        <w:tc>
          <w:tcPr>
            <w:tcW w:w="9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E6EE" w:themeFill="accent6" w:themeFillTint="66"/>
            <w:vAlign w:val="center"/>
          </w:tcPr>
          <w:p w:rsidR="00F57EFE" w:rsidRPr="007B0D7E" w:rsidRDefault="00F57EFE" w:rsidP="00F57EFE">
            <w:pPr>
              <w:pStyle w:val="ListParagraph"/>
              <w:spacing w:before="240" w:after="0" w:line="360" w:lineRule="auto"/>
              <w:ind w:left="0"/>
              <w:rPr>
                <w:rFonts w:ascii="Arial" w:hAnsi="Arial" w:cs="Arial"/>
              </w:rPr>
            </w:pPr>
            <w:r w:rsidRPr="007B0D7E">
              <w:rPr>
                <w:rFonts w:ascii="Arial" w:hAnsi="Arial" w:cs="Arial"/>
              </w:rPr>
              <w:t>The rush to the towns has created the same kind of misery as existed in the 19</w:t>
            </w:r>
            <w:r w:rsidRPr="007B0D7E">
              <w:rPr>
                <w:rFonts w:ascii="Arial" w:hAnsi="Arial" w:cs="Arial"/>
                <w:vertAlign w:val="superscript"/>
              </w:rPr>
              <w:t>th</w:t>
            </w:r>
            <w:r w:rsidRPr="007B0D7E">
              <w:rPr>
                <w:rFonts w:ascii="Arial" w:hAnsi="Arial" w:cs="Arial"/>
              </w:rPr>
              <w:t xml:space="preserve"> century cities of Europe and America.  But industrialisation in those days was labour-intensive, so that the cities grew as the jobs expanded.</w:t>
            </w:r>
          </w:p>
          <w:p w:rsidR="00F57EFE" w:rsidRPr="007B0D7E" w:rsidRDefault="00F57EFE" w:rsidP="00F57EFE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7B0D7E">
              <w:rPr>
                <w:rFonts w:ascii="Arial" w:hAnsi="Arial" w:cs="Arial"/>
              </w:rPr>
              <w:t>The migration in today’s developing world is often due to the lack of opportunity in the countryside – it is ‘rural push’ as much as ‘urban pull’.  The consequences of high birth rates and rapid migration are all too visible in many cities of the Thi</w:t>
            </w:r>
            <w:r w:rsidR="008E7959">
              <w:rPr>
                <w:rFonts w:ascii="Arial" w:hAnsi="Arial" w:cs="Arial"/>
              </w:rPr>
              <w:t>rd World (now referred to as LI</w:t>
            </w:r>
            <w:r w:rsidRPr="007B0D7E">
              <w:rPr>
                <w:rFonts w:ascii="Arial" w:hAnsi="Arial" w:cs="Arial"/>
              </w:rPr>
              <w:t xml:space="preserve">Cs or LICs), with abysmal living conditions and very high unemployment or underemployment.  </w:t>
            </w:r>
          </w:p>
          <w:p w:rsidR="00F57EFE" w:rsidRPr="007B0D7E" w:rsidRDefault="00F57EFE" w:rsidP="00F57EFE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7B0D7E">
              <w:rPr>
                <w:rFonts w:ascii="Arial" w:hAnsi="Arial" w:cs="Arial"/>
              </w:rPr>
              <w:t xml:space="preserve">The strains on families, whose members are often separated, are very heavy.  In Sao Paulo in Brazil, the population was growing at around 6-7 per cent annually in the late sixties and early seventies, in such appalling conditions that infant mortality was actually increasing.  </w:t>
            </w:r>
          </w:p>
          <w:p w:rsidR="00F57EFE" w:rsidRPr="007B0D7E" w:rsidRDefault="00F57EFE" w:rsidP="00F57EFE">
            <w:pPr>
              <w:pStyle w:val="ListParagraph"/>
              <w:spacing w:after="120" w:line="360" w:lineRule="auto"/>
              <w:ind w:left="0"/>
              <w:rPr>
                <w:rFonts w:ascii="Arial" w:hAnsi="Arial" w:cs="Arial"/>
              </w:rPr>
            </w:pPr>
            <w:r w:rsidRPr="007B0D7E">
              <w:rPr>
                <w:rFonts w:ascii="Arial" w:hAnsi="Arial" w:cs="Arial"/>
              </w:rPr>
              <w:t>The fact that people still migrate to these cities only underlines the desperate situation which they have left behind.</w:t>
            </w:r>
          </w:p>
        </w:tc>
      </w:tr>
    </w:tbl>
    <w:p w:rsidR="007B0D7E" w:rsidRPr="00F57EFE" w:rsidRDefault="007B0D7E" w:rsidP="007B0D7E">
      <w:pPr>
        <w:pStyle w:val="ListParagraph"/>
        <w:numPr>
          <w:ilvl w:val="0"/>
          <w:numId w:val="30"/>
        </w:numPr>
        <w:spacing w:after="360"/>
        <w:jc w:val="both"/>
        <w:rPr>
          <w:rFonts w:ascii="Arial" w:hAnsi="Arial" w:cs="Arial"/>
        </w:rPr>
      </w:pPr>
      <w:r w:rsidRPr="007B0D7E">
        <w:rPr>
          <w:rFonts w:ascii="Arial" w:hAnsi="Arial" w:cs="Arial"/>
          <w:shd w:val="clear" w:color="auto" w:fill="FFFFFF"/>
        </w:rPr>
        <w:t xml:space="preserve">Read the extract </w:t>
      </w:r>
      <w:r w:rsidRPr="007B0D7E">
        <w:rPr>
          <w:rFonts w:ascii="Arial" w:hAnsi="Arial" w:cs="Arial"/>
        </w:rPr>
        <w:t>from the Brandt Report</w:t>
      </w:r>
      <w:r w:rsidRPr="007B0D7E">
        <w:rPr>
          <w:rFonts w:ascii="Arial" w:hAnsi="Arial" w:cs="Arial"/>
          <w:shd w:val="clear" w:color="auto" w:fill="FFFFFF"/>
        </w:rPr>
        <w:t xml:space="preserve"> below.</w:t>
      </w:r>
    </w:p>
    <w:p w:rsidR="00F57EFE" w:rsidRDefault="00F57EFE" w:rsidP="00F57EFE">
      <w:pPr>
        <w:pStyle w:val="ListParagraph"/>
        <w:spacing w:after="360"/>
        <w:ind w:left="0"/>
        <w:jc w:val="both"/>
        <w:rPr>
          <w:rFonts w:ascii="Arial" w:hAnsi="Arial" w:cs="Arial"/>
          <w:shd w:val="clear" w:color="auto" w:fill="FFFFFF"/>
        </w:rPr>
      </w:pPr>
    </w:p>
    <w:p w:rsidR="00F57EFE" w:rsidRPr="007B0D7E" w:rsidRDefault="00F57EFE" w:rsidP="00F57EFE">
      <w:pPr>
        <w:pStyle w:val="ListParagraph"/>
        <w:spacing w:after="360"/>
        <w:ind w:left="0"/>
        <w:jc w:val="both"/>
        <w:rPr>
          <w:rFonts w:ascii="Arial" w:hAnsi="Arial" w:cs="Arial"/>
        </w:rPr>
      </w:pPr>
    </w:p>
    <w:p w:rsidR="00F57EFE" w:rsidRDefault="00F57EFE" w:rsidP="00F57EFE">
      <w:pPr>
        <w:rPr>
          <w:rFonts w:ascii="Arial" w:hAnsi="Arial" w:cs="Arial"/>
        </w:rPr>
        <w:sectPr w:rsidR="00F57EFE" w:rsidSect="00641C6D">
          <w:headerReference w:type="default" r:id="rId11"/>
          <w:footerReference w:type="default" r:id="rId12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F57EFE" w:rsidRDefault="00F57EFE" w:rsidP="007B0D7E">
      <w:pPr>
        <w:pStyle w:val="NormalWeb"/>
        <w:spacing w:after="0"/>
        <w:jc w:val="right"/>
        <w:rPr>
          <w:rFonts w:asciiTheme="minorHAnsi" w:hAnsiTheme="minorHAnsi"/>
          <w:sz w:val="16"/>
          <w:szCs w:val="16"/>
        </w:rPr>
      </w:pPr>
    </w:p>
    <w:p w:rsidR="00F57EFE" w:rsidRDefault="00F57EFE" w:rsidP="00F57EFE">
      <w:pPr>
        <w:pStyle w:val="ListParagraph"/>
        <w:numPr>
          <w:ilvl w:val="0"/>
          <w:numId w:val="30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C104F5">
        <w:rPr>
          <w:rFonts w:asciiTheme="minorHAnsi" w:hAnsiTheme="minorHAnsi"/>
          <w:sz w:val="24"/>
          <w:szCs w:val="24"/>
        </w:rPr>
        <w:t xml:space="preserve">What does the Brandt Report identify as being the </w:t>
      </w:r>
      <w:r w:rsidRPr="00C104F5">
        <w:rPr>
          <w:rFonts w:asciiTheme="minorHAnsi" w:hAnsiTheme="minorHAnsi"/>
          <w:b/>
          <w:sz w:val="24"/>
          <w:szCs w:val="24"/>
        </w:rPr>
        <w:t xml:space="preserve">two </w:t>
      </w:r>
      <w:r w:rsidRPr="00C104F5">
        <w:rPr>
          <w:rFonts w:asciiTheme="minorHAnsi" w:hAnsiTheme="minorHAnsi"/>
          <w:sz w:val="24"/>
          <w:szCs w:val="24"/>
        </w:rPr>
        <w:t>main</w:t>
      </w:r>
      <w:r w:rsidRPr="00C104F5">
        <w:rPr>
          <w:rFonts w:asciiTheme="minorHAnsi" w:hAnsiTheme="minorHAnsi"/>
          <w:b/>
          <w:sz w:val="24"/>
          <w:szCs w:val="24"/>
        </w:rPr>
        <w:t xml:space="preserve"> causes </w:t>
      </w:r>
      <w:r w:rsidRPr="00C104F5">
        <w:rPr>
          <w:rFonts w:asciiTheme="minorHAnsi" w:hAnsiTheme="minorHAnsi"/>
          <w:sz w:val="24"/>
          <w:szCs w:val="24"/>
        </w:rPr>
        <w:t>of</w:t>
      </w:r>
      <w:r w:rsidRPr="00C104F5">
        <w:rPr>
          <w:rFonts w:asciiTheme="minorHAnsi" w:hAnsiTheme="minorHAnsi"/>
          <w:b/>
          <w:sz w:val="24"/>
          <w:szCs w:val="24"/>
        </w:rPr>
        <w:t xml:space="preserve"> urbanisation</w:t>
      </w:r>
      <w:r w:rsidRPr="00C104F5">
        <w:rPr>
          <w:rFonts w:asciiTheme="minorHAnsi" w:hAnsiTheme="minorHAnsi"/>
          <w:sz w:val="24"/>
          <w:szCs w:val="24"/>
        </w:rPr>
        <w:t>?</w:t>
      </w:r>
    </w:p>
    <w:p w:rsidR="00F57EFE" w:rsidRDefault="00F57EFE" w:rsidP="00F57EFE">
      <w:pPr>
        <w:tabs>
          <w:tab w:val="right" w:leader="dot" w:pos="9639"/>
        </w:tabs>
        <w:spacing w:before="240"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130847" w:rsidRDefault="00130847" w:rsidP="00F57EFE">
      <w:pPr>
        <w:tabs>
          <w:tab w:val="right" w:leader="dot" w:pos="9639"/>
        </w:tabs>
        <w:spacing w:before="240"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F57EFE" w:rsidRPr="00F57EFE" w:rsidRDefault="00F57EFE" w:rsidP="00F57EFE">
      <w:pPr>
        <w:tabs>
          <w:tab w:val="right" w:leader="dot" w:pos="9639"/>
        </w:tabs>
        <w:spacing w:before="240"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F57EFE" w:rsidRDefault="00F57EFE" w:rsidP="00F57EFE">
      <w:pPr>
        <w:pStyle w:val="ListParagraph"/>
        <w:numPr>
          <w:ilvl w:val="0"/>
          <w:numId w:val="30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 does the Brandt Report identify as </w:t>
      </w:r>
      <w:r w:rsidRPr="0001725E">
        <w:rPr>
          <w:rFonts w:asciiTheme="minorHAnsi" w:hAnsiTheme="minorHAnsi"/>
          <w:b/>
          <w:sz w:val="24"/>
          <w:szCs w:val="24"/>
        </w:rPr>
        <w:t>one</w:t>
      </w:r>
      <w:r>
        <w:rPr>
          <w:rFonts w:asciiTheme="minorHAnsi" w:hAnsiTheme="minorHAnsi"/>
          <w:sz w:val="24"/>
          <w:szCs w:val="24"/>
        </w:rPr>
        <w:t xml:space="preserve"> cause of </w:t>
      </w:r>
      <w:r w:rsidRPr="0001725E">
        <w:rPr>
          <w:rFonts w:asciiTheme="minorHAnsi" w:hAnsiTheme="minorHAnsi"/>
          <w:b/>
          <w:sz w:val="24"/>
          <w:szCs w:val="24"/>
        </w:rPr>
        <w:t>urban growth</w:t>
      </w:r>
      <w:r>
        <w:rPr>
          <w:rFonts w:asciiTheme="minorHAnsi" w:hAnsiTheme="minorHAnsi"/>
          <w:sz w:val="24"/>
          <w:szCs w:val="24"/>
        </w:rPr>
        <w:t>?</w:t>
      </w:r>
    </w:p>
    <w:p w:rsidR="00F57EFE" w:rsidRDefault="00F57EFE" w:rsidP="00F57EFE">
      <w:pPr>
        <w:tabs>
          <w:tab w:val="right" w:leader="dot" w:pos="9639"/>
        </w:tabs>
        <w:spacing w:before="240"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130847" w:rsidRPr="00F57EFE" w:rsidRDefault="00130847" w:rsidP="00F57EFE">
      <w:pPr>
        <w:tabs>
          <w:tab w:val="right" w:leader="dot" w:pos="9639"/>
        </w:tabs>
        <w:spacing w:before="240" w:after="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F57EFE" w:rsidRPr="00034654" w:rsidRDefault="00F57EFE" w:rsidP="00F57EFE">
      <w:pPr>
        <w:pStyle w:val="ListParagraph"/>
        <w:numPr>
          <w:ilvl w:val="0"/>
          <w:numId w:val="30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Complete the card sort to match the correct term to the </w:t>
      </w:r>
      <w:r w:rsidRPr="00034654">
        <w:rPr>
          <w:rFonts w:asciiTheme="minorHAnsi" w:hAnsiTheme="minorHAnsi"/>
          <w:sz w:val="24"/>
          <w:szCs w:val="24"/>
        </w:rPr>
        <w:t>appropriate definitions.</w:t>
      </w:r>
    </w:p>
    <w:p w:rsidR="00F57EFE" w:rsidRPr="00F57EFE" w:rsidRDefault="00F57EFE" w:rsidP="00F57EFE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3024"/>
        <w:gridCol w:w="6662"/>
      </w:tblGrid>
      <w:tr w:rsidR="00F57EFE" w:rsidTr="00130847">
        <w:trPr>
          <w:trHeight w:val="961"/>
        </w:trPr>
        <w:tc>
          <w:tcPr>
            <w:tcW w:w="2977" w:type="dxa"/>
            <w:shd w:val="clear" w:color="auto" w:fill="DCE6EE" w:themeFill="accent6" w:themeFillTint="66"/>
            <w:vAlign w:val="center"/>
          </w:tcPr>
          <w:p w:rsidR="00F57EFE" w:rsidRPr="00130847" w:rsidRDefault="00F57EFE" w:rsidP="00130847">
            <w:pPr>
              <w:spacing w:before="120" w:after="120"/>
              <w:ind w:left="170" w:right="170"/>
              <w:rPr>
                <w:rFonts w:ascii="Arial" w:hAnsi="Arial" w:cs="Arial"/>
                <w:b/>
                <w:sz w:val="28"/>
                <w:szCs w:val="28"/>
              </w:rPr>
            </w:pPr>
            <w:r w:rsidRPr="00130847">
              <w:rPr>
                <w:rFonts w:ascii="Arial" w:hAnsi="Arial" w:cs="Arial"/>
                <w:b/>
                <w:sz w:val="28"/>
                <w:szCs w:val="28"/>
              </w:rPr>
              <w:t>Term</w:t>
            </w:r>
          </w:p>
        </w:tc>
        <w:tc>
          <w:tcPr>
            <w:tcW w:w="6662" w:type="dxa"/>
            <w:vAlign w:val="center"/>
          </w:tcPr>
          <w:p w:rsidR="00F57EFE" w:rsidRPr="00130847" w:rsidRDefault="00F57EFE" w:rsidP="00130847">
            <w:pPr>
              <w:spacing w:before="120" w:after="120"/>
              <w:ind w:left="170" w:right="170"/>
              <w:rPr>
                <w:rFonts w:ascii="Arial" w:hAnsi="Arial" w:cs="Arial"/>
                <w:b/>
                <w:sz w:val="28"/>
                <w:szCs w:val="28"/>
              </w:rPr>
            </w:pPr>
            <w:r w:rsidRPr="00130847">
              <w:rPr>
                <w:rFonts w:ascii="Arial" w:hAnsi="Arial" w:cs="Arial"/>
                <w:b/>
                <w:sz w:val="28"/>
                <w:szCs w:val="28"/>
              </w:rPr>
              <w:t>Definition</w:t>
            </w:r>
          </w:p>
        </w:tc>
      </w:tr>
      <w:tr w:rsidR="00F57EFE" w:rsidTr="00130847">
        <w:trPr>
          <w:trHeight w:val="961"/>
        </w:trPr>
        <w:tc>
          <w:tcPr>
            <w:tcW w:w="2977" w:type="dxa"/>
            <w:shd w:val="clear" w:color="auto" w:fill="DCE6EE" w:themeFill="accent6" w:themeFillTint="66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sz w:val="28"/>
                <w:szCs w:val="28"/>
              </w:rPr>
              <w:t>natural increase</w:t>
            </w:r>
          </w:p>
        </w:tc>
        <w:tc>
          <w:tcPr>
            <w:tcW w:w="6662" w:type="dxa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sz w:val="28"/>
                <w:szCs w:val="28"/>
              </w:rPr>
              <w:t>The expansion of towns and cities so that they cover more land, as well as gaining large populations.</w:t>
            </w:r>
          </w:p>
        </w:tc>
      </w:tr>
      <w:tr w:rsidR="00F57EFE" w:rsidTr="00130847">
        <w:trPr>
          <w:trHeight w:val="961"/>
        </w:trPr>
        <w:tc>
          <w:tcPr>
            <w:tcW w:w="2977" w:type="dxa"/>
            <w:shd w:val="clear" w:color="auto" w:fill="DCE6EE" w:themeFill="accent6" w:themeFillTint="66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sz w:val="28"/>
                <w:szCs w:val="28"/>
              </w:rPr>
              <w:t>birth rate</w:t>
            </w:r>
          </w:p>
        </w:tc>
        <w:tc>
          <w:tcPr>
            <w:tcW w:w="6662" w:type="dxa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sz w:val="28"/>
                <w:szCs w:val="28"/>
              </w:rPr>
              <w:t>The movement of people from the countryside to towns and cities where they wish to live permanently.</w:t>
            </w:r>
          </w:p>
        </w:tc>
      </w:tr>
      <w:tr w:rsidR="00F57EFE" w:rsidTr="00130847">
        <w:trPr>
          <w:trHeight w:val="961"/>
        </w:trPr>
        <w:tc>
          <w:tcPr>
            <w:tcW w:w="2977" w:type="dxa"/>
            <w:shd w:val="clear" w:color="auto" w:fill="DCE6EE" w:themeFill="accent6" w:themeFillTint="66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sz w:val="28"/>
                <w:szCs w:val="28"/>
              </w:rPr>
              <w:t>death rate</w:t>
            </w:r>
          </w:p>
        </w:tc>
        <w:tc>
          <w:tcPr>
            <w:tcW w:w="6662" w:type="dxa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sz w:val="28"/>
                <w:szCs w:val="28"/>
              </w:rPr>
              <w:t>Reasons why people are encouraged to leave rural areas.</w:t>
            </w:r>
          </w:p>
        </w:tc>
      </w:tr>
      <w:tr w:rsidR="00F57EFE" w:rsidTr="00130847">
        <w:trPr>
          <w:trHeight w:val="961"/>
        </w:trPr>
        <w:tc>
          <w:tcPr>
            <w:tcW w:w="2977" w:type="dxa"/>
            <w:shd w:val="clear" w:color="auto" w:fill="DCE6EE" w:themeFill="accent6" w:themeFillTint="66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sz w:val="28"/>
                <w:szCs w:val="28"/>
              </w:rPr>
              <w:t>urbanisation</w:t>
            </w:r>
          </w:p>
        </w:tc>
        <w:tc>
          <w:tcPr>
            <w:tcW w:w="6662" w:type="dxa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sz w:val="28"/>
                <w:szCs w:val="28"/>
              </w:rPr>
              <w:t>The average number of deaths of children under one year of age per 1000 live births.</w:t>
            </w:r>
          </w:p>
        </w:tc>
      </w:tr>
      <w:tr w:rsidR="00F57EFE" w:rsidTr="00130847">
        <w:trPr>
          <w:trHeight w:val="961"/>
        </w:trPr>
        <w:tc>
          <w:tcPr>
            <w:tcW w:w="2977" w:type="dxa"/>
            <w:shd w:val="clear" w:color="auto" w:fill="DCE6EE" w:themeFill="accent6" w:themeFillTint="66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sz w:val="28"/>
                <w:szCs w:val="28"/>
              </w:rPr>
              <w:t>unemployment</w:t>
            </w:r>
          </w:p>
        </w:tc>
        <w:tc>
          <w:tcPr>
            <w:tcW w:w="6662" w:type="dxa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color w:val="000000"/>
                <w:sz w:val="28"/>
                <w:szCs w:val="28"/>
              </w:rPr>
              <w:t>Employed at work, yet does not make use of or acknowledge one's full ability, training or such like.</w:t>
            </w:r>
          </w:p>
        </w:tc>
      </w:tr>
      <w:tr w:rsidR="00F57EFE" w:rsidTr="00130847">
        <w:trPr>
          <w:trHeight w:val="961"/>
        </w:trPr>
        <w:tc>
          <w:tcPr>
            <w:tcW w:w="2977" w:type="dxa"/>
            <w:shd w:val="clear" w:color="auto" w:fill="DCE6EE" w:themeFill="accent6" w:themeFillTint="66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sz w:val="28"/>
                <w:szCs w:val="28"/>
              </w:rPr>
              <w:lastRenderedPageBreak/>
              <w:t>underemployment</w:t>
            </w:r>
          </w:p>
        </w:tc>
        <w:tc>
          <w:tcPr>
            <w:tcW w:w="6662" w:type="dxa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sz w:val="28"/>
                <w:szCs w:val="28"/>
              </w:rPr>
              <w:t>The number of deaths per 1000 people per year.</w:t>
            </w:r>
          </w:p>
        </w:tc>
      </w:tr>
      <w:tr w:rsidR="00F57EFE" w:rsidTr="00130847">
        <w:trPr>
          <w:trHeight w:val="961"/>
        </w:trPr>
        <w:tc>
          <w:tcPr>
            <w:tcW w:w="2977" w:type="dxa"/>
            <w:shd w:val="clear" w:color="auto" w:fill="DCE6EE" w:themeFill="accent6" w:themeFillTint="66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sz w:val="28"/>
                <w:szCs w:val="28"/>
              </w:rPr>
              <w:t>push factors</w:t>
            </w:r>
          </w:p>
        </w:tc>
        <w:tc>
          <w:tcPr>
            <w:tcW w:w="6662" w:type="dxa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sz w:val="28"/>
                <w:szCs w:val="28"/>
              </w:rPr>
              <w:t>Reasons why people are attracted to urban areas.</w:t>
            </w:r>
          </w:p>
        </w:tc>
      </w:tr>
      <w:tr w:rsidR="00F57EFE" w:rsidTr="00130847">
        <w:trPr>
          <w:trHeight w:val="961"/>
        </w:trPr>
        <w:tc>
          <w:tcPr>
            <w:tcW w:w="2977" w:type="dxa"/>
            <w:shd w:val="clear" w:color="auto" w:fill="DCE6EE" w:themeFill="accent6" w:themeFillTint="66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sz w:val="28"/>
                <w:szCs w:val="28"/>
              </w:rPr>
              <w:t>rural-urban migration</w:t>
            </w:r>
          </w:p>
        </w:tc>
        <w:tc>
          <w:tcPr>
            <w:tcW w:w="6662" w:type="dxa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sz w:val="28"/>
                <w:szCs w:val="28"/>
              </w:rPr>
              <w:t>The growth in population resulting in an excess of births over deaths.</w:t>
            </w:r>
          </w:p>
        </w:tc>
      </w:tr>
      <w:tr w:rsidR="00F57EFE" w:rsidTr="00130847">
        <w:trPr>
          <w:trHeight w:val="961"/>
        </w:trPr>
        <w:tc>
          <w:tcPr>
            <w:tcW w:w="2977" w:type="dxa"/>
            <w:shd w:val="clear" w:color="auto" w:fill="DCE6EE" w:themeFill="accent6" w:themeFillTint="66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sz w:val="28"/>
                <w:szCs w:val="28"/>
              </w:rPr>
              <w:t>pull factors</w:t>
            </w:r>
          </w:p>
        </w:tc>
        <w:tc>
          <w:tcPr>
            <w:tcW w:w="6662" w:type="dxa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sz w:val="28"/>
                <w:szCs w:val="28"/>
              </w:rPr>
              <w:t>The increase in the proportion of people living in towns and cities.</w:t>
            </w:r>
          </w:p>
        </w:tc>
      </w:tr>
      <w:tr w:rsidR="00F57EFE" w:rsidTr="00130847">
        <w:trPr>
          <w:trHeight w:val="961"/>
        </w:trPr>
        <w:tc>
          <w:tcPr>
            <w:tcW w:w="2977" w:type="dxa"/>
            <w:shd w:val="clear" w:color="auto" w:fill="DCE6EE" w:themeFill="accent6" w:themeFillTint="66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sz w:val="28"/>
                <w:szCs w:val="28"/>
              </w:rPr>
              <w:t>infant mortality</w:t>
            </w:r>
          </w:p>
        </w:tc>
        <w:tc>
          <w:tcPr>
            <w:tcW w:w="6662" w:type="dxa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sz w:val="28"/>
                <w:szCs w:val="28"/>
              </w:rPr>
              <w:t>The number of live births per 1000 people per year.</w:t>
            </w:r>
          </w:p>
        </w:tc>
      </w:tr>
      <w:tr w:rsidR="00F57EFE" w:rsidTr="00130847">
        <w:trPr>
          <w:trHeight w:val="962"/>
        </w:trPr>
        <w:tc>
          <w:tcPr>
            <w:tcW w:w="2977" w:type="dxa"/>
            <w:shd w:val="clear" w:color="auto" w:fill="DCE6EE" w:themeFill="accent6" w:themeFillTint="66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sz w:val="28"/>
                <w:szCs w:val="28"/>
              </w:rPr>
              <w:t>urban growth</w:t>
            </w:r>
          </w:p>
        </w:tc>
        <w:tc>
          <w:tcPr>
            <w:tcW w:w="6662" w:type="dxa"/>
            <w:vAlign w:val="center"/>
          </w:tcPr>
          <w:p w:rsidR="00F57EFE" w:rsidRPr="00130847" w:rsidRDefault="00F57EFE" w:rsidP="00130847">
            <w:pPr>
              <w:spacing w:before="240" w:after="240"/>
              <w:ind w:left="283" w:right="283"/>
              <w:rPr>
                <w:rFonts w:ascii="Arial" w:hAnsi="Arial" w:cs="Arial"/>
                <w:sz w:val="28"/>
                <w:szCs w:val="28"/>
              </w:rPr>
            </w:pPr>
            <w:r w:rsidRPr="00130847">
              <w:rPr>
                <w:rFonts w:ascii="Arial" w:hAnsi="Arial" w:cs="Arial"/>
                <w:sz w:val="28"/>
                <w:szCs w:val="28"/>
              </w:rPr>
              <w:t>The state of not having a job.</w:t>
            </w:r>
          </w:p>
        </w:tc>
      </w:tr>
    </w:tbl>
    <w:p w:rsidR="007B0D7E" w:rsidRDefault="007B0D7E" w:rsidP="00F57EFE"/>
    <w:p w:rsidR="00130847" w:rsidRDefault="00130847" w:rsidP="00F57EFE"/>
    <w:p w:rsidR="00130847" w:rsidRDefault="00130847" w:rsidP="00F57EFE">
      <w:pPr>
        <w:sectPr w:rsidR="00130847" w:rsidSect="00641C6D">
          <w:headerReference w:type="default" r:id="rId13"/>
          <w:footerReference w:type="default" r:id="rId14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130847" w:rsidRPr="00130847" w:rsidRDefault="00130847" w:rsidP="00130847">
      <w:pPr>
        <w:shd w:val="clear" w:color="auto" w:fill="DCE6EE" w:themeFill="accent6" w:themeFillTint="66"/>
        <w:spacing w:before="120" w:after="120"/>
        <w:rPr>
          <w:rFonts w:ascii="Arial" w:hAnsi="Arial" w:cs="Arial"/>
          <w:b/>
          <w:sz w:val="24"/>
          <w:szCs w:val="24"/>
        </w:rPr>
      </w:pPr>
      <w:r w:rsidRPr="00130847">
        <w:rPr>
          <w:rFonts w:ascii="Arial" w:hAnsi="Arial" w:cs="Arial"/>
          <w:b/>
          <w:sz w:val="24"/>
          <w:szCs w:val="24"/>
        </w:rPr>
        <w:lastRenderedPageBreak/>
        <w:t>Teaching notes</w:t>
      </w:r>
    </w:p>
    <w:p w:rsidR="00130847" w:rsidRPr="00130847" w:rsidRDefault="00130847" w:rsidP="00130847">
      <w:pPr>
        <w:pStyle w:val="ListParagraph"/>
        <w:numPr>
          <w:ilvl w:val="0"/>
          <w:numId w:val="32"/>
        </w:numPr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  <w:r w:rsidRPr="00A83297">
        <w:rPr>
          <w:rFonts w:asciiTheme="minorHAnsi" w:hAnsiTheme="minorHAnsi"/>
          <w:sz w:val="24"/>
          <w:szCs w:val="24"/>
        </w:rPr>
        <w:t>The Brandt Report identifies the</w:t>
      </w:r>
      <w:r w:rsidRPr="00A83297">
        <w:rPr>
          <w:rFonts w:asciiTheme="minorHAnsi" w:hAnsiTheme="minorHAnsi"/>
          <w:b/>
          <w:sz w:val="24"/>
          <w:szCs w:val="24"/>
        </w:rPr>
        <w:t xml:space="preserve"> </w:t>
      </w:r>
      <w:r w:rsidRPr="00A83297">
        <w:rPr>
          <w:rFonts w:asciiTheme="minorHAnsi" w:hAnsiTheme="minorHAnsi"/>
          <w:sz w:val="24"/>
          <w:szCs w:val="24"/>
        </w:rPr>
        <w:t>main</w:t>
      </w:r>
      <w:r>
        <w:rPr>
          <w:rFonts w:asciiTheme="minorHAnsi" w:hAnsiTheme="minorHAnsi"/>
          <w:b/>
          <w:sz w:val="24"/>
          <w:szCs w:val="24"/>
        </w:rPr>
        <w:t xml:space="preserve"> cause</w:t>
      </w:r>
      <w:r w:rsidRPr="00A83297">
        <w:rPr>
          <w:rFonts w:asciiTheme="minorHAnsi" w:hAnsiTheme="minorHAnsi"/>
          <w:b/>
          <w:sz w:val="24"/>
          <w:szCs w:val="24"/>
        </w:rPr>
        <w:t xml:space="preserve"> </w:t>
      </w:r>
      <w:r w:rsidRPr="00A83297">
        <w:rPr>
          <w:rFonts w:asciiTheme="minorHAnsi" w:hAnsiTheme="minorHAnsi"/>
          <w:sz w:val="24"/>
          <w:szCs w:val="24"/>
        </w:rPr>
        <w:t>of</w:t>
      </w:r>
      <w:r w:rsidRPr="00A83297">
        <w:rPr>
          <w:rFonts w:asciiTheme="minorHAnsi" w:hAnsiTheme="minorHAnsi"/>
          <w:b/>
          <w:sz w:val="24"/>
          <w:szCs w:val="24"/>
        </w:rPr>
        <w:t xml:space="preserve"> urbanisation as </w:t>
      </w:r>
      <w:r w:rsidRPr="00A83297">
        <w:rPr>
          <w:rFonts w:asciiTheme="minorHAnsi" w:hAnsiTheme="minorHAnsi"/>
          <w:sz w:val="24"/>
          <w:szCs w:val="24"/>
        </w:rPr>
        <w:t xml:space="preserve">push and </w:t>
      </w:r>
      <w:proofErr w:type="gramStart"/>
      <w:r w:rsidRPr="00A83297">
        <w:rPr>
          <w:rFonts w:asciiTheme="minorHAnsi" w:hAnsiTheme="minorHAnsi"/>
          <w:sz w:val="24"/>
          <w:szCs w:val="24"/>
        </w:rPr>
        <w:t>pull</w:t>
      </w:r>
      <w:proofErr w:type="gramEnd"/>
      <w:r w:rsidRPr="00A83297">
        <w:rPr>
          <w:rFonts w:asciiTheme="minorHAnsi" w:hAnsiTheme="minorHAnsi"/>
          <w:sz w:val="24"/>
          <w:szCs w:val="24"/>
        </w:rPr>
        <w:t xml:space="preserve"> factors encouraging rural-urban migration.</w:t>
      </w:r>
      <w:r>
        <w:rPr>
          <w:rFonts w:asciiTheme="minorHAnsi" w:hAnsiTheme="minorHAnsi"/>
          <w:sz w:val="24"/>
          <w:szCs w:val="24"/>
        </w:rPr>
        <w:t xml:space="preserve">  However, the high birth rate in the urban areas will also contribute to a higher urbanisation percentage.</w:t>
      </w:r>
    </w:p>
    <w:p w:rsidR="00130847" w:rsidRPr="00130847" w:rsidRDefault="00130847" w:rsidP="00130847">
      <w:pPr>
        <w:pStyle w:val="ListParagraph"/>
        <w:numPr>
          <w:ilvl w:val="0"/>
          <w:numId w:val="32"/>
        </w:numPr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Brandt Report identifies a cause of urban growth as natural increase with birth rates of </w:t>
      </w:r>
      <w:r w:rsidRPr="004C09E5">
        <w:rPr>
          <w:rFonts w:asciiTheme="minorHAnsi" w:hAnsiTheme="minorHAnsi"/>
          <w:sz w:val="24"/>
          <w:szCs w:val="24"/>
        </w:rPr>
        <w:t>6-7 per cent annually in the late sixties and early seventies</w:t>
      </w:r>
      <w:r>
        <w:rPr>
          <w:rFonts w:asciiTheme="minorHAnsi" w:hAnsiTheme="minorHAnsi"/>
          <w:sz w:val="24"/>
          <w:szCs w:val="24"/>
        </w:rPr>
        <w:t>.</w:t>
      </w:r>
    </w:p>
    <w:p w:rsidR="00130847" w:rsidRPr="00130847" w:rsidRDefault="00130847" w:rsidP="00130847">
      <w:pPr>
        <w:pStyle w:val="ListParagraph"/>
        <w:numPr>
          <w:ilvl w:val="0"/>
          <w:numId w:val="32"/>
        </w:numPr>
        <w:spacing w:after="0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Car</w:t>
      </w:r>
      <w:r w:rsidRPr="008E251E">
        <w:rPr>
          <w:rFonts w:asciiTheme="minorHAnsi" w:hAnsiTheme="minorHAnsi"/>
          <w:sz w:val="24"/>
          <w:szCs w:val="24"/>
        </w:rPr>
        <w:t>d sort</w:t>
      </w:r>
      <w:r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4891" w:type="pct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50"/>
        <w:gridCol w:w="6589"/>
      </w:tblGrid>
      <w:tr w:rsidR="00130847" w:rsidRPr="004C09E5" w:rsidTr="002E57A3">
        <w:trPr>
          <w:trHeight w:val="828"/>
        </w:trPr>
        <w:tc>
          <w:tcPr>
            <w:tcW w:w="1582" w:type="pct"/>
            <w:shd w:val="clear" w:color="auto" w:fill="DCE6EE" w:themeFill="accent6" w:themeFillTint="66"/>
            <w:vAlign w:val="center"/>
          </w:tcPr>
          <w:p w:rsidR="00130847" w:rsidRPr="004C09E5" w:rsidRDefault="00130847" w:rsidP="00130847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4C09E5">
              <w:rPr>
                <w:rFonts w:asciiTheme="minorHAnsi" w:hAnsiTheme="minorHAnsi"/>
                <w:b/>
                <w:sz w:val="24"/>
                <w:szCs w:val="24"/>
              </w:rPr>
              <w:t>Term</w:t>
            </w:r>
          </w:p>
        </w:tc>
        <w:tc>
          <w:tcPr>
            <w:tcW w:w="3418" w:type="pct"/>
            <w:vAlign w:val="center"/>
          </w:tcPr>
          <w:p w:rsidR="00130847" w:rsidRPr="004C09E5" w:rsidRDefault="00130847" w:rsidP="00130847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4C09E5">
              <w:rPr>
                <w:rFonts w:asciiTheme="minorHAnsi" w:hAnsiTheme="minorHAnsi"/>
                <w:b/>
                <w:sz w:val="24"/>
                <w:szCs w:val="24"/>
              </w:rPr>
              <w:t>Definition</w:t>
            </w:r>
          </w:p>
        </w:tc>
      </w:tr>
      <w:tr w:rsidR="00130847" w:rsidTr="002E57A3">
        <w:trPr>
          <w:trHeight w:val="828"/>
        </w:trPr>
        <w:tc>
          <w:tcPr>
            <w:tcW w:w="1582" w:type="pct"/>
            <w:shd w:val="clear" w:color="auto" w:fill="DCE6EE" w:themeFill="accent6" w:themeFillTint="66"/>
            <w:vAlign w:val="center"/>
          </w:tcPr>
          <w:p w:rsidR="00130847" w:rsidRDefault="00130847" w:rsidP="0013084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natural increase</w:t>
            </w:r>
          </w:p>
        </w:tc>
        <w:tc>
          <w:tcPr>
            <w:tcW w:w="3418" w:type="pct"/>
            <w:vAlign w:val="center"/>
          </w:tcPr>
          <w:p w:rsidR="00130847" w:rsidRDefault="00130847" w:rsidP="0013084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growth in population resulting in an excess of births over deaths.</w:t>
            </w:r>
          </w:p>
        </w:tc>
      </w:tr>
      <w:tr w:rsidR="00130847" w:rsidTr="002E57A3">
        <w:trPr>
          <w:trHeight w:val="828"/>
        </w:trPr>
        <w:tc>
          <w:tcPr>
            <w:tcW w:w="1582" w:type="pct"/>
            <w:shd w:val="clear" w:color="auto" w:fill="DCE6EE" w:themeFill="accent6" w:themeFillTint="66"/>
            <w:vAlign w:val="center"/>
          </w:tcPr>
          <w:p w:rsidR="00130847" w:rsidRDefault="00130847" w:rsidP="0013084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birth rate</w:t>
            </w:r>
          </w:p>
        </w:tc>
        <w:tc>
          <w:tcPr>
            <w:tcW w:w="3418" w:type="pct"/>
            <w:vAlign w:val="center"/>
          </w:tcPr>
          <w:p w:rsidR="00130847" w:rsidRDefault="00130847" w:rsidP="0013084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number of live births per 1000 people per year.</w:t>
            </w:r>
          </w:p>
        </w:tc>
      </w:tr>
      <w:tr w:rsidR="00130847" w:rsidTr="002E57A3">
        <w:trPr>
          <w:trHeight w:val="828"/>
        </w:trPr>
        <w:tc>
          <w:tcPr>
            <w:tcW w:w="1582" w:type="pct"/>
            <w:shd w:val="clear" w:color="auto" w:fill="DCE6EE" w:themeFill="accent6" w:themeFillTint="66"/>
            <w:vAlign w:val="center"/>
          </w:tcPr>
          <w:p w:rsidR="00130847" w:rsidRDefault="00130847" w:rsidP="0013084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death rate</w:t>
            </w:r>
          </w:p>
        </w:tc>
        <w:tc>
          <w:tcPr>
            <w:tcW w:w="3418" w:type="pct"/>
            <w:vAlign w:val="center"/>
          </w:tcPr>
          <w:p w:rsidR="00130847" w:rsidRDefault="00130847" w:rsidP="0013084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number of deaths per 1000 people per year.</w:t>
            </w:r>
          </w:p>
        </w:tc>
      </w:tr>
      <w:tr w:rsidR="00130847" w:rsidTr="002E57A3">
        <w:trPr>
          <w:trHeight w:val="828"/>
        </w:trPr>
        <w:tc>
          <w:tcPr>
            <w:tcW w:w="1582" w:type="pct"/>
            <w:shd w:val="clear" w:color="auto" w:fill="DCE6EE" w:themeFill="accent6" w:themeFillTint="66"/>
            <w:vAlign w:val="center"/>
          </w:tcPr>
          <w:p w:rsidR="00130847" w:rsidRDefault="00130847" w:rsidP="0013084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urbanisation</w:t>
            </w:r>
          </w:p>
        </w:tc>
        <w:tc>
          <w:tcPr>
            <w:tcW w:w="3418" w:type="pct"/>
            <w:vAlign w:val="center"/>
          </w:tcPr>
          <w:p w:rsidR="00130847" w:rsidRDefault="00130847" w:rsidP="0013084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increase in the proportion of people living in towns and cities.</w:t>
            </w:r>
          </w:p>
        </w:tc>
      </w:tr>
      <w:tr w:rsidR="00130847" w:rsidRPr="001D7541" w:rsidTr="002E57A3">
        <w:trPr>
          <w:trHeight w:val="828"/>
        </w:trPr>
        <w:tc>
          <w:tcPr>
            <w:tcW w:w="1582" w:type="pct"/>
            <w:shd w:val="clear" w:color="auto" w:fill="DCE6EE" w:themeFill="accent6" w:themeFillTint="66"/>
            <w:vAlign w:val="center"/>
          </w:tcPr>
          <w:p w:rsidR="00130847" w:rsidRDefault="00130847" w:rsidP="0013084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unemployment</w:t>
            </w:r>
          </w:p>
        </w:tc>
        <w:tc>
          <w:tcPr>
            <w:tcW w:w="3418" w:type="pct"/>
            <w:vAlign w:val="center"/>
          </w:tcPr>
          <w:p w:rsidR="00130847" w:rsidRPr="001D7541" w:rsidRDefault="00130847" w:rsidP="0013084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state of not having a job.</w:t>
            </w:r>
          </w:p>
        </w:tc>
      </w:tr>
      <w:tr w:rsidR="00130847" w:rsidTr="002E57A3">
        <w:trPr>
          <w:trHeight w:val="828"/>
        </w:trPr>
        <w:tc>
          <w:tcPr>
            <w:tcW w:w="1582" w:type="pct"/>
            <w:shd w:val="clear" w:color="auto" w:fill="DCE6EE" w:themeFill="accent6" w:themeFillTint="66"/>
            <w:vAlign w:val="center"/>
          </w:tcPr>
          <w:p w:rsidR="00130847" w:rsidRDefault="00130847" w:rsidP="0013084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underemployment</w:t>
            </w:r>
          </w:p>
        </w:tc>
        <w:tc>
          <w:tcPr>
            <w:tcW w:w="3418" w:type="pct"/>
            <w:vAlign w:val="center"/>
          </w:tcPr>
          <w:p w:rsidR="00130847" w:rsidRPr="002B53D7" w:rsidRDefault="00130847" w:rsidP="00130847">
            <w:pPr>
              <w:spacing w:before="120" w:after="12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7541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mployed at work, yet </w:t>
            </w:r>
            <w:r w:rsidRPr="001D75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does not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make </w:t>
            </w:r>
            <w:r w:rsidRPr="001D7541">
              <w:rPr>
                <w:rFonts w:asciiTheme="minorHAnsi" w:hAnsiTheme="minorHAnsi"/>
                <w:color w:val="000000"/>
                <w:sz w:val="24"/>
                <w:szCs w:val="24"/>
              </w:rPr>
              <w:t>u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se of or acknowledge one's full ability, training or such</w:t>
            </w:r>
            <w:r w:rsidRPr="001D75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like.</w:t>
            </w:r>
          </w:p>
        </w:tc>
      </w:tr>
      <w:tr w:rsidR="00130847" w:rsidTr="002E57A3">
        <w:trPr>
          <w:trHeight w:val="828"/>
        </w:trPr>
        <w:tc>
          <w:tcPr>
            <w:tcW w:w="1582" w:type="pct"/>
            <w:shd w:val="clear" w:color="auto" w:fill="DCE6EE" w:themeFill="accent6" w:themeFillTint="66"/>
            <w:vAlign w:val="center"/>
          </w:tcPr>
          <w:p w:rsidR="00130847" w:rsidRDefault="00130847" w:rsidP="0013084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push factors</w:t>
            </w:r>
          </w:p>
        </w:tc>
        <w:tc>
          <w:tcPr>
            <w:tcW w:w="3418" w:type="pct"/>
            <w:vAlign w:val="center"/>
          </w:tcPr>
          <w:p w:rsidR="00130847" w:rsidRDefault="00130847" w:rsidP="0013084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Reasons why people are encouraged to leave rural areas.</w:t>
            </w:r>
          </w:p>
        </w:tc>
      </w:tr>
      <w:tr w:rsidR="00130847" w:rsidTr="002E57A3">
        <w:trPr>
          <w:trHeight w:val="828"/>
        </w:trPr>
        <w:tc>
          <w:tcPr>
            <w:tcW w:w="1582" w:type="pct"/>
            <w:shd w:val="clear" w:color="auto" w:fill="DCE6EE" w:themeFill="accent6" w:themeFillTint="66"/>
            <w:vAlign w:val="center"/>
          </w:tcPr>
          <w:p w:rsidR="00130847" w:rsidRDefault="00130847" w:rsidP="0013084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rural-urban migration</w:t>
            </w:r>
          </w:p>
        </w:tc>
        <w:tc>
          <w:tcPr>
            <w:tcW w:w="3418" w:type="pct"/>
            <w:vAlign w:val="center"/>
          </w:tcPr>
          <w:p w:rsidR="00130847" w:rsidRDefault="00130847" w:rsidP="0013084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movement of people from the countryside to towns and cities where they wish to live permanently.</w:t>
            </w:r>
          </w:p>
        </w:tc>
      </w:tr>
      <w:tr w:rsidR="00130847" w:rsidTr="002E57A3">
        <w:trPr>
          <w:trHeight w:val="828"/>
        </w:trPr>
        <w:tc>
          <w:tcPr>
            <w:tcW w:w="1582" w:type="pct"/>
            <w:shd w:val="clear" w:color="auto" w:fill="DCE6EE" w:themeFill="accent6" w:themeFillTint="66"/>
            <w:vAlign w:val="center"/>
          </w:tcPr>
          <w:p w:rsidR="00130847" w:rsidRDefault="00130847" w:rsidP="0013084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pull factors</w:t>
            </w:r>
          </w:p>
        </w:tc>
        <w:tc>
          <w:tcPr>
            <w:tcW w:w="3418" w:type="pct"/>
            <w:vAlign w:val="center"/>
          </w:tcPr>
          <w:p w:rsidR="00130847" w:rsidRDefault="00130847" w:rsidP="0013084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Reasons why people are attracted to urban areas.</w:t>
            </w:r>
          </w:p>
        </w:tc>
      </w:tr>
      <w:tr w:rsidR="00130847" w:rsidTr="002E57A3">
        <w:trPr>
          <w:trHeight w:val="828"/>
        </w:trPr>
        <w:tc>
          <w:tcPr>
            <w:tcW w:w="1582" w:type="pct"/>
            <w:shd w:val="clear" w:color="auto" w:fill="DCE6EE" w:themeFill="accent6" w:themeFillTint="66"/>
            <w:vAlign w:val="center"/>
          </w:tcPr>
          <w:p w:rsidR="00130847" w:rsidRDefault="00130847" w:rsidP="0013084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infant mortality</w:t>
            </w:r>
          </w:p>
        </w:tc>
        <w:tc>
          <w:tcPr>
            <w:tcW w:w="3418" w:type="pct"/>
            <w:vAlign w:val="center"/>
          </w:tcPr>
          <w:p w:rsidR="00130847" w:rsidRDefault="00130847" w:rsidP="0013084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average number of deaths of children under one year of age per 1000 live births.</w:t>
            </w:r>
          </w:p>
        </w:tc>
      </w:tr>
      <w:tr w:rsidR="00130847" w:rsidTr="002E57A3">
        <w:trPr>
          <w:trHeight w:val="828"/>
        </w:trPr>
        <w:tc>
          <w:tcPr>
            <w:tcW w:w="1582" w:type="pct"/>
            <w:shd w:val="clear" w:color="auto" w:fill="DCE6EE" w:themeFill="accent6" w:themeFillTint="66"/>
            <w:vAlign w:val="center"/>
          </w:tcPr>
          <w:p w:rsidR="00130847" w:rsidRDefault="00130847" w:rsidP="0013084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urban growth</w:t>
            </w:r>
          </w:p>
        </w:tc>
        <w:tc>
          <w:tcPr>
            <w:tcW w:w="3418" w:type="pct"/>
            <w:vAlign w:val="center"/>
          </w:tcPr>
          <w:p w:rsidR="00130847" w:rsidRDefault="00130847" w:rsidP="00130847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expansion of towns and cities so that they cover more land, as well as gaining large populations.</w:t>
            </w:r>
          </w:p>
        </w:tc>
      </w:tr>
    </w:tbl>
    <w:p w:rsidR="00130847" w:rsidRPr="00F57EFE" w:rsidRDefault="00130847" w:rsidP="00130847"/>
    <w:sectPr w:rsidR="00130847" w:rsidRPr="00F57EFE" w:rsidSect="00641C6D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7E" w:rsidRDefault="007B0D7E" w:rsidP="00B55A21">
      <w:r>
        <w:separator/>
      </w:r>
    </w:p>
  </w:endnote>
  <w:endnote w:type="continuationSeparator" w:id="0">
    <w:p w:rsidR="007B0D7E" w:rsidRDefault="007B0D7E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93" w:rsidRPr="00D04E58" w:rsidRDefault="00E42AD4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21F19471" wp14:editId="4BD87C8E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293" w:rsidRPr="00FA4BD2">
      <w:rPr>
        <w:rFonts w:ascii="Arial" w:hAnsi="Arial" w:cs="Arial"/>
        <w:sz w:val="14"/>
        <w:szCs w:val="16"/>
      </w:rPr>
      <w:t xml:space="preserve">Page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B50C71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AB6293" w:rsidRPr="00FA4BD2">
      <w:rPr>
        <w:rFonts w:ascii="Arial" w:hAnsi="Arial" w:cs="Arial"/>
        <w:sz w:val="14"/>
        <w:szCs w:val="16"/>
      </w:rPr>
      <w:t xml:space="preserve"> of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B50C71">
      <w:rPr>
        <w:rFonts w:ascii="Arial" w:hAnsi="Arial" w:cs="Arial"/>
        <w:bCs/>
        <w:noProof/>
        <w:sz w:val="14"/>
        <w:szCs w:val="16"/>
      </w:rPr>
      <w:t>4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E010D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="00AB6293" w:rsidRPr="00CA3294">
      <w:rPr>
        <w:rFonts w:ascii="Arial" w:hAnsi="Arial" w:cs="Arial"/>
        <w:sz w:val="14"/>
        <w:szCs w:val="16"/>
      </w:rPr>
      <w:t xml:space="preserve"> AQA. Created by Teachit for AQA.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FE" w:rsidRPr="00D04E58" w:rsidRDefault="00F57EFE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B50C71">
      <w:rPr>
        <w:rFonts w:ascii="Arial" w:hAnsi="Arial" w:cs="Arial"/>
        <w:bCs/>
        <w:noProof/>
        <w:sz w:val="14"/>
        <w:szCs w:val="16"/>
      </w:rPr>
      <w:t>4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B50C71">
      <w:rPr>
        <w:rFonts w:ascii="Arial" w:hAnsi="Arial" w:cs="Arial"/>
        <w:bCs/>
        <w:noProof/>
        <w:sz w:val="14"/>
        <w:szCs w:val="16"/>
      </w:rPr>
      <w:t>4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F57EFE" w:rsidRPr="00AB6293" w:rsidRDefault="00F57EFE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Pr="00CA3294">
      <w:rPr>
        <w:rFonts w:ascii="Arial" w:hAnsi="Arial" w:cs="Arial"/>
        <w:sz w:val="14"/>
        <w:szCs w:val="16"/>
      </w:rPr>
      <w:t>Teachit</w:t>
    </w:r>
    <w:proofErr w:type="spellEnd"/>
    <w:r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7E" w:rsidRDefault="007B0D7E" w:rsidP="00B55A21">
      <w:r>
        <w:separator/>
      </w:r>
    </w:p>
  </w:footnote>
  <w:footnote w:type="continuationSeparator" w:id="0">
    <w:p w:rsidR="007B0D7E" w:rsidRDefault="007B0D7E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3" w:rsidRPr="0038170F" w:rsidRDefault="002B446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7E050249" wp14:editId="2135A362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7C3">
      <w:rPr>
        <w:rFonts w:ascii="Arial" w:hAnsi="Arial" w:cs="Arial"/>
        <w:sz w:val="28"/>
        <w:szCs w:val="32"/>
      </w:rPr>
      <w:t>Causes of urbanisation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FE" w:rsidRPr="0038170F" w:rsidRDefault="004C17C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Causes of urbanisation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A25E7"/>
    <w:multiLevelType w:val="hybridMultilevel"/>
    <w:tmpl w:val="9D5651E8"/>
    <w:lvl w:ilvl="0" w:tplc="BF9415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D02175"/>
    <w:multiLevelType w:val="hybridMultilevel"/>
    <w:tmpl w:val="08BA1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5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9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DD2447"/>
    <w:multiLevelType w:val="hybridMultilevel"/>
    <w:tmpl w:val="08BA1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0"/>
  </w:num>
  <w:num w:numId="5">
    <w:abstractNumId w:val="7"/>
  </w:num>
  <w:num w:numId="6">
    <w:abstractNumId w:val="5"/>
  </w:num>
  <w:num w:numId="7">
    <w:abstractNumId w:val="21"/>
  </w:num>
  <w:num w:numId="8">
    <w:abstractNumId w:val="11"/>
  </w:num>
  <w:num w:numId="9">
    <w:abstractNumId w:val="9"/>
  </w:num>
  <w:num w:numId="10">
    <w:abstractNumId w:val="15"/>
  </w:num>
  <w:num w:numId="11">
    <w:abstractNumId w:val="6"/>
  </w:num>
  <w:num w:numId="12">
    <w:abstractNumId w:val="25"/>
  </w:num>
  <w:num w:numId="13">
    <w:abstractNumId w:val="24"/>
  </w:num>
  <w:num w:numId="14">
    <w:abstractNumId w:val="12"/>
  </w:num>
  <w:num w:numId="15">
    <w:abstractNumId w:val="16"/>
  </w:num>
  <w:num w:numId="16">
    <w:abstractNumId w:val="3"/>
  </w:num>
  <w:num w:numId="17">
    <w:abstractNumId w:val="26"/>
  </w:num>
  <w:num w:numId="18">
    <w:abstractNumId w:val="22"/>
  </w:num>
  <w:num w:numId="19">
    <w:abstractNumId w:val="19"/>
  </w:num>
  <w:num w:numId="20">
    <w:abstractNumId w:val="4"/>
  </w:num>
  <w:num w:numId="21">
    <w:abstractNumId w:val="10"/>
  </w:num>
  <w:num w:numId="22">
    <w:abstractNumId w:val="28"/>
  </w:num>
  <w:num w:numId="23">
    <w:abstractNumId w:val="20"/>
  </w:num>
  <w:num w:numId="24">
    <w:abstractNumId w:val="17"/>
  </w:num>
  <w:num w:numId="25">
    <w:abstractNumId w:val="8"/>
  </w:num>
  <w:num w:numId="26">
    <w:abstractNumId w:val="14"/>
  </w:num>
  <w:num w:numId="27">
    <w:abstractNumId w:val="27"/>
  </w:num>
  <w:num w:numId="28">
    <w:abstractNumId w:val="18"/>
  </w:num>
  <w:num w:numId="29">
    <w:abstractNumId w:val="1"/>
  </w:num>
  <w:num w:numId="30">
    <w:abstractNumId w:val="23"/>
  </w:num>
  <w:num w:numId="31">
    <w:abstractNumId w:val="1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7E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0847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7A3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C17C3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B0D7E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E7959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0C71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57EFE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7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ommons.wikimedia.org/wiki/File:The_Brandt_Line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C24F-9887-4786-B9AC-E3FB0D51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3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4</cp:revision>
  <cp:lastPrinted>2016-10-19T11:33:00Z</cp:lastPrinted>
  <dcterms:created xsi:type="dcterms:W3CDTF">2016-07-11T15:59:00Z</dcterms:created>
  <dcterms:modified xsi:type="dcterms:W3CDTF">2016-10-19T11:33:00Z</dcterms:modified>
</cp:coreProperties>
</file>